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88" w:rsidRDefault="000B6DF0" w:rsidP="000B6D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DF0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2 семестра</w:t>
      </w:r>
    </w:p>
    <w:p w:rsidR="000B6DF0" w:rsidRDefault="000B6DF0" w:rsidP="000B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Практические навыки к модулю 3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1. Особенности сбора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анамнеза у больных с аллергическими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заболеваниями, сопровождающимися кожными проявлениями.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2. Амбулаторный прием пациентов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 крапивницей,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3. Проведение кожных проб с аллергенами и оценка результатов.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4. Специфические методы: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-ИФА на определение содержания общего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Е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-ИФА на определение специфических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IgE</w:t>
      </w:r>
      <w:proofErr w:type="spellEnd"/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-внутрикожный тест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аутосывороткой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у больных с хронической крапивницей.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5. На основании анамнестических и клинико-диагностических данных и результатов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 крапивницей, 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6. Ведение медицинской документации – заполнение амбулаторных карт 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медицинских карт стационарных больных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крапивницей, 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7. Оказание неотложной помощи при острой крапивнице, при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ангиоотеке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>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8. Методика проведения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элиминационно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>-провокационных проб при пищевой</w:t>
      </w:r>
    </w:p>
    <w:p w:rsid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Аллергии</w:t>
      </w:r>
    </w:p>
    <w:p w:rsid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Практические навыки по модулю 4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1. Особенности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и фармакотерапевтического анамнеза 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диагностике лекарственной аллергии.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lastRenderedPageBreak/>
        <w:t>2. Амбулаторный прием пациентов с аллергическими реакциями на лекарственные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препараты.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3. Ведение медицинской документации – заполнение амбулаторных карт 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медицинских карт стационарных больных с аллергическими реакциями на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лекарственные препараты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4. Методика постановки кожных проб с лекарственными препаратами. Правила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оценки.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5. Проведение и оценка результатов ТТЕЭЛ с лекарственными препаратами.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6. На основании анамнестических и клинико-диагностических данных и результатов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аллергическими реакциями на лекарственные пр</w:t>
      </w:r>
      <w:r>
        <w:rPr>
          <w:rFonts w:ascii="Times New Roman" w:hAnsi="Times New Roman" w:cs="Times New Roman"/>
          <w:sz w:val="28"/>
          <w:szCs w:val="28"/>
        </w:rPr>
        <w:t>епараты.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7. Оказание неотложной помощи </w:t>
      </w:r>
      <w:proofErr w:type="gramStart"/>
      <w:r w:rsidRPr="000B6DF0">
        <w:rPr>
          <w:rFonts w:ascii="Times New Roman" w:hAnsi="Times New Roman" w:cs="Times New Roman"/>
          <w:sz w:val="28"/>
          <w:szCs w:val="28"/>
        </w:rPr>
        <w:t>при анафилактической шоке</w:t>
      </w:r>
      <w:proofErr w:type="gramEnd"/>
      <w:r w:rsidRPr="000B6DF0">
        <w:rPr>
          <w:rFonts w:ascii="Times New Roman" w:hAnsi="Times New Roman" w:cs="Times New Roman"/>
          <w:sz w:val="28"/>
          <w:szCs w:val="28"/>
        </w:rPr>
        <w:t>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8. Общие принципы проведения АСИТ. Схемы лечения. Применение различных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форм лечебных аллергенов.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9. Обеспечение контроля за проведением АСИТ.</w:t>
      </w:r>
      <w:r w:rsidRPr="000B6DF0">
        <w:rPr>
          <w:rFonts w:ascii="Times New Roman" w:hAnsi="Times New Roman" w:cs="Times New Roman"/>
          <w:sz w:val="28"/>
          <w:szCs w:val="28"/>
        </w:rPr>
        <w:cr/>
      </w:r>
    </w:p>
    <w:sectPr w:rsidR="000B6DF0" w:rsidRPr="000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56"/>
    <w:rsid w:val="000B6DF0"/>
    <w:rsid w:val="00217173"/>
    <w:rsid w:val="007A6D88"/>
    <w:rsid w:val="008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8C2BF-83A0-4CBE-8907-6F358E38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2025-05-11T14:03:00Z</dcterms:created>
  <dcterms:modified xsi:type="dcterms:W3CDTF">2025-05-11T14:03:00Z</dcterms:modified>
</cp:coreProperties>
</file>